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jc w:val="right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Додаток №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right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до тендерного оголошення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Rule="auto"/>
        <w:jc w:val="right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БО МБФ «Центр соціальних проектів майбутнього»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Rule="auto"/>
        <w:jc w:val="right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від 0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.06.2025 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30"/>
          <w:szCs w:val="30"/>
          <w:rtl w:val="0"/>
        </w:rPr>
        <w:t xml:space="preserve">Специфікація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color w:val="000000"/>
          <w:sz w:val="30"/>
          <w:szCs w:val="30"/>
          <w:rtl w:val="0"/>
        </w:rPr>
        <w:t xml:space="preserve">медичного обладнання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ind w:left="360" w:firstLine="0"/>
        <w:rPr>
          <w:b w:val="1"/>
          <w:color w:val="000000"/>
          <w:sz w:val="26"/>
          <w:szCs w:val="26"/>
        </w:rPr>
      </w:pPr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Загальні вимоги: </w:t>
      </w:r>
    </w:p>
    <w:p w:rsidR="00000000" w:rsidDel="00000000" w:rsidP="00000000" w:rsidRDefault="00000000" w:rsidRPr="00000000" w14:paraId="0000000A">
      <w:pPr>
        <w:spacing w:after="0" w:lineRule="auto"/>
        <w:ind w:left="360" w:firstLine="0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650.0" w:type="dxa"/>
        <w:jc w:val="left"/>
        <w:tblInd w:w="-1033.0" w:type="dxa"/>
        <w:tblLayout w:type="fixed"/>
        <w:tblLook w:val="0400"/>
      </w:tblPr>
      <w:tblGrid>
        <w:gridCol w:w="600"/>
        <w:gridCol w:w="4530"/>
        <w:gridCol w:w="855"/>
        <w:gridCol w:w="4665"/>
        <w:tblGridChange w:id="0">
          <w:tblGrid>
            <w:gridCol w:w="600"/>
            <w:gridCol w:w="4530"/>
            <w:gridCol w:w="855"/>
            <w:gridCol w:w="4665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№ п/п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Предмет закупівлі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К-ть, шт.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Запитувана марка /модель *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Пристрій для реабілітації передпліччя та зап'ястя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CAPRI, PHU Technomex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Бруси для перенавчання ходи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TNCH-2, PHU Technomex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highlight w:val="white"/>
                <w:rtl w:val="0"/>
              </w:rPr>
              <w:t xml:space="preserve">Пристрій для реабілітації верхніх або нижніх кінцівок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KINETEC KINEVIA DUO, Kinetec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Багатофункціональний силовий тренажер з тяговою системою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Smart Power Machine, DKN Technology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Дзеркало для вправ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MIRR-1, Technomex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Стіл процедурний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OPAL, Technomex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Апарат для електротерапії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Endomed 482, Enraf-Nonius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Інтерактивна когнітивно-реабілітаційна тренінгова система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МОТО Cog, </w:t>
            </w:r>
            <w:r w:rsidDel="00000000" w:rsidR="00000000" w:rsidRPr="00000000">
              <w:rPr>
                <w:color w:val="000000"/>
                <w:sz w:val="24"/>
                <w:szCs w:val="24"/>
                <w:shd w:fill="f6f7fb" w:val="clear"/>
                <w:rtl w:val="0"/>
              </w:rPr>
              <w:t xml:space="preserve">Ортопед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Мобільний підйомник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Helios/150, Winncare Nordic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Тренажер для вправ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Line Cable Cross Over, DKN Technology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Стіл широкий процедурний для Бобат терапії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KORUND-E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Віртуальна реабілітаційна система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Neofect Cognition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Реабілітаційна бігова доріжка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7.0T, Dyaco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Реабілітаційна дошка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Neofect Smart Pegboard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Система для підвісної слінг терапії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Levitas PRO, Technomex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Апарат для пасивної реабілітації ліктя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Fisiotek LT-G (FLT/G-5R), Rimec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Гібридний резектоскоп (Гістероскоп 30°, діаметр 4 мм, РД 300 мм; Гібридний робочий елемент, пасивний; Зовнішній тубус резектоскопу, 26 Шр, скошений; Ріжучий петлевий електрод, прямий, 24 Шр; Ріжучий петлевий електрод, зігнутий, 24 Шр; Електрод для коагуляції, плоский, 24 Шр; Електрод для коагуляції, конічний, 24 Шр; Електрод для коагуляції, кульковий, 24 Шр ; Біполярний кабель, Valleylab; Монополярний кабель, Valleylab)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RZ-Medizintechnik</w:t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Лапароскопічні інструменти (Біполярні щипці, 34 cm (см), обертаються на 720°; Біполярні щипці, фенестровані, ергономічні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;  Щипці для дисекції по Меріленду, делікатні, у зборі; Щипці для захоплення по Йогансу, у зборі;  Оригінальні ножиці по Метценбауму, у зборі; Щипці для захоплення по Кохеру, у зборі; Фібро-волоконний світловодний кабель; Адаптер до фібро-волоконного світловоду; Адаптер до фібро-волоконного світловоду)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RZ-Medizintechnik</w:t>
            </w:r>
          </w:p>
        </w:tc>
      </w:tr>
      <w:tr>
        <w:trPr>
          <w:cantSplit w:val="0"/>
          <w:trHeight w:val="176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ВСЬОГО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after="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5C">
      <w:pPr>
        <w:spacing w:after="0" w:lineRule="auto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* учасники можуть запропонувати іншу марку/модель, яка є еквівалентною запитуваній по характеристикам.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4.0" w:type="dxa"/>
        <w:jc w:val="center"/>
        <w:tblLayout w:type="fixed"/>
        <w:tblLook w:val="0400"/>
      </w:tblPr>
      <w:tblGrid>
        <w:gridCol w:w="236"/>
        <w:gridCol w:w="9118"/>
        <w:tblGridChange w:id="0">
          <w:tblGrid>
            <w:gridCol w:w="236"/>
            <w:gridCol w:w="911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Загальні вимоги: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товар, запропонований Учасником, повинен бути новим і таким, що не був у використанні та гарантійний термін (строк) експлуатації повинен становити не менше 12 місяців;</w:t>
            </w:r>
          </w:p>
          <w:p w:rsidR="00000000" w:rsidDel="00000000" w:rsidP="00000000" w:rsidRDefault="00000000" w:rsidRPr="00000000" w14:paraId="00000062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товар, запропонований Учасником, повинен відповідати національним та/або міжнародним стандартам, медико – технічним вимогам до предмету закупівлі, встановленим у даному додатку та всіх інших вимог тендерної документації;</w:t>
            </w:r>
          </w:p>
          <w:p w:rsidR="00000000" w:rsidDel="00000000" w:rsidP="00000000" w:rsidRDefault="00000000" w:rsidRPr="00000000" w14:paraId="00000063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переможець відкритого тендеру має бути готовим до укладання договору з Замовником протягом 5 днів з дати прийняття рішення про намір укласти договір;</w:t>
            </w:r>
          </w:p>
          <w:p w:rsidR="00000000" w:rsidDel="00000000" w:rsidP="00000000" w:rsidRDefault="00000000" w:rsidRPr="00000000" w14:paraId="00000064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терміни виконання умов договору не повинні перевищувати 90 днів з дати підписання договору;</w:t>
            </w:r>
          </w:p>
          <w:p w:rsidR="00000000" w:rsidDel="00000000" w:rsidP="00000000" w:rsidRDefault="00000000" w:rsidRPr="00000000" w14:paraId="00000065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у вартість обладнання включається ціна за його доставку за визначеною адресою;</w:t>
            </w:r>
          </w:p>
          <w:p w:rsidR="00000000" w:rsidDel="00000000" w:rsidP="00000000" w:rsidRDefault="00000000" w:rsidRPr="00000000" w14:paraId="00000066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оплата за товар здійснюється Замовником у національній грошовій одиниці України шляхом перерахування коштів на розрахунковий рахунок Учасника;</w:t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сервісне обслуговування товару, запропонованого Учасником повинно здійснюватися кваліфікованими працівниками, які мають відповідні знання та навички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after="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284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ru-RU"/>
      </w:rPr>
    </w:rPrDefault>
    <w:pPrDefault>
      <w:pPr>
        <w:spacing w:after="1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e75b5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e75b5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i w:val="1"/>
      <w:color w:val="2e75b5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color w:val="2e75b5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Calibri" w:cs="Calibri" w:eastAsia="Calibri" w:hAnsi="Calibri"/>
      <w:sz w:val="56"/>
      <w:szCs w:val="56"/>
    </w:rPr>
  </w:style>
  <w:style w:type="paragraph" w:styleId="a" w:default="1">
    <w:name w:val="Normal"/>
    <w:qFormat w:val="1"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 w:val="1"/>
    <w:rsid w:val="00820743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820743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820743"/>
    <w:pPr>
      <w:keepNext w:val="1"/>
      <w:keepLines w:val="1"/>
      <w:spacing w:after="80" w:before="160"/>
      <w:outlineLvl w:val="2"/>
    </w:pPr>
    <w:rPr>
      <w:rFonts w:asciiTheme="minorHAnsi" w:cstheme="majorBidi" w:eastAsiaTheme="majorEastAsia" w:hAnsiTheme="minorHAnsi"/>
      <w:color w:val="2e74b5" w:themeColor="accent1" w:themeShade="0000BF"/>
      <w:szCs w:val="28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820743"/>
    <w:pPr>
      <w:keepNext w:val="1"/>
      <w:keepLines w:val="1"/>
      <w:spacing w:after="40" w:before="80"/>
      <w:outlineLvl w:val="3"/>
    </w:pPr>
    <w:rPr>
      <w:rFonts w:asciiTheme="minorHAnsi" w:cstheme="majorBidi" w:eastAsiaTheme="majorEastAsia" w:hAnsiTheme="minorHAnsi"/>
      <w:i w:val="1"/>
      <w:iCs w:val="1"/>
      <w:color w:val="2e74b5" w:themeColor="accent1" w:themeShade="0000BF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820743"/>
    <w:pPr>
      <w:keepNext w:val="1"/>
      <w:keepLines w:val="1"/>
      <w:spacing w:after="40" w:before="80"/>
      <w:outlineLvl w:val="4"/>
    </w:pPr>
    <w:rPr>
      <w:rFonts w:asciiTheme="minorHAnsi" w:cstheme="majorBidi" w:eastAsiaTheme="majorEastAsia" w:hAnsiTheme="minorHAnsi"/>
      <w:color w:val="2e74b5" w:themeColor="accent1" w:themeShade="0000BF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820743"/>
    <w:pPr>
      <w:keepNext w:val="1"/>
      <w:keepLines w:val="1"/>
      <w:spacing w:after="0" w:before="40"/>
      <w:outlineLvl w:val="5"/>
    </w:pPr>
    <w:rPr>
      <w:rFonts w:asciiTheme="minorHAnsi" w:cstheme="majorBidi" w:eastAsiaTheme="majorEastAsia" w:hAnsiTheme="minorHAnsi"/>
      <w:i w:val="1"/>
      <w:iCs w:val="1"/>
      <w:color w:val="595959" w:themeColor="text1" w:themeTint="0000A6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820743"/>
    <w:pPr>
      <w:keepNext w:val="1"/>
      <w:keepLines w:val="1"/>
      <w:spacing w:after="0" w:before="40"/>
      <w:outlineLvl w:val="6"/>
    </w:pPr>
    <w:rPr>
      <w:rFonts w:asciiTheme="minorHAnsi" w:cstheme="majorBidi" w:eastAsiaTheme="majorEastAsia" w:hAnsiTheme="minorHAnsi"/>
      <w:color w:val="595959" w:themeColor="text1" w:themeTint="0000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820743"/>
    <w:pPr>
      <w:keepNext w:val="1"/>
      <w:keepLines w:val="1"/>
      <w:spacing w:after="0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820743"/>
    <w:pPr>
      <w:keepNext w:val="1"/>
      <w:keepLines w:val="1"/>
      <w:spacing w:after="0"/>
      <w:outlineLvl w:val="8"/>
    </w:pPr>
    <w:rPr>
      <w:rFonts w:asciiTheme="minorHAnsi" w:cstheme="majorBidi" w:eastAsiaTheme="majorEastAsia" w:hAnsiTheme="minorHAnsi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Заголовок 1 Знак"/>
    <w:basedOn w:val="a0"/>
    <w:link w:val="1"/>
    <w:uiPriority w:val="9"/>
    <w:rsid w:val="00820743"/>
    <w:rPr>
      <w:rFonts w:asciiTheme="majorHAnsi" w:cstheme="majorBidi" w:eastAsiaTheme="majorEastAsia" w:hAnsiTheme="majorHAnsi"/>
      <w:color w:val="2e74b5" w:themeColor="accent1" w:themeShade="0000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 w:val="1"/>
    <w:rsid w:val="00820743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 w:val="1"/>
    <w:rsid w:val="00820743"/>
    <w:rPr>
      <w:rFonts w:cstheme="majorBidi" w:eastAsiaTheme="majorEastAsia"/>
      <w:color w:val="2e74b5" w:themeColor="accent1" w:themeShade="0000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 w:val="1"/>
    <w:rsid w:val="00820743"/>
    <w:rPr>
      <w:rFonts w:cstheme="majorBidi" w:eastAsiaTheme="majorEastAsia"/>
      <w:i w:val="1"/>
      <w:iCs w:val="1"/>
      <w:color w:val="2e74b5" w:themeColor="accent1" w:themeShade="0000BF"/>
      <w:sz w:val="28"/>
    </w:rPr>
  </w:style>
  <w:style w:type="character" w:styleId="50" w:customStyle="1">
    <w:name w:val="Заголовок 5 Знак"/>
    <w:basedOn w:val="a0"/>
    <w:link w:val="5"/>
    <w:uiPriority w:val="9"/>
    <w:semiHidden w:val="1"/>
    <w:rsid w:val="00820743"/>
    <w:rPr>
      <w:rFonts w:cstheme="majorBidi" w:eastAsiaTheme="majorEastAsia"/>
      <w:color w:val="2e74b5" w:themeColor="accent1" w:themeShade="0000BF"/>
      <w:sz w:val="28"/>
    </w:rPr>
  </w:style>
  <w:style w:type="character" w:styleId="60" w:customStyle="1">
    <w:name w:val="Заголовок 6 Знак"/>
    <w:basedOn w:val="a0"/>
    <w:link w:val="6"/>
    <w:uiPriority w:val="9"/>
    <w:semiHidden w:val="1"/>
    <w:rsid w:val="00820743"/>
    <w:rPr>
      <w:rFonts w:cstheme="majorBidi" w:eastAsiaTheme="majorEastAsia"/>
      <w:i w:val="1"/>
      <w:iCs w:val="1"/>
      <w:color w:val="595959" w:themeColor="text1" w:themeTint="0000A6"/>
      <w:sz w:val="28"/>
    </w:rPr>
  </w:style>
  <w:style w:type="character" w:styleId="70" w:customStyle="1">
    <w:name w:val="Заголовок 7 Знак"/>
    <w:basedOn w:val="a0"/>
    <w:link w:val="7"/>
    <w:uiPriority w:val="9"/>
    <w:semiHidden w:val="1"/>
    <w:rsid w:val="00820743"/>
    <w:rPr>
      <w:rFonts w:cstheme="majorBidi" w:eastAsiaTheme="majorEastAsia"/>
      <w:color w:val="595959" w:themeColor="text1" w:themeTint="0000A6"/>
      <w:sz w:val="28"/>
    </w:rPr>
  </w:style>
  <w:style w:type="character" w:styleId="80" w:customStyle="1">
    <w:name w:val="Заголовок 8 Знак"/>
    <w:basedOn w:val="a0"/>
    <w:link w:val="8"/>
    <w:uiPriority w:val="9"/>
    <w:semiHidden w:val="1"/>
    <w:rsid w:val="00820743"/>
    <w:rPr>
      <w:rFonts w:cstheme="majorBidi" w:eastAsiaTheme="majorEastAsia"/>
      <w:i w:val="1"/>
      <w:iCs w:val="1"/>
      <w:color w:val="272727" w:themeColor="text1" w:themeTint="0000D8"/>
      <w:sz w:val="2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820743"/>
    <w:rPr>
      <w:rFonts w:cstheme="majorBidi" w:eastAsiaTheme="majorEastAsia"/>
      <w:color w:val="272727" w:themeColor="text1" w:themeTint="0000D8"/>
      <w:sz w:val="28"/>
    </w:rPr>
  </w:style>
  <w:style w:type="paragraph" w:styleId="a3">
    <w:name w:val="Title"/>
    <w:basedOn w:val="a"/>
    <w:next w:val="a"/>
    <w:link w:val="a4"/>
    <w:uiPriority w:val="10"/>
    <w:qFormat w:val="1"/>
    <w:rsid w:val="00820743"/>
    <w:pPr>
      <w:spacing w:after="80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4" w:customStyle="1">
    <w:name w:val="Назва Знак"/>
    <w:basedOn w:val="a0"/>
    <w:link w:val="a3"/>
    <w:uiPriority w:val="10"/>
    <w:rsid w:val="0082074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 w:val="1"/>
    <w:rsid w:val="00820743"/>
    <w:pPr>
      <w:numPr>
        <w:ilvl w:val="1"/>
      </w:numPr>
    </w:pPr>
    <w:rPr>
      <w:rFonts w:asciiTheme="minorHAnsi" w:cstheme="majorBidi" w:eastAsiaTheme="majorEastAsia" w:hAnsiTheme="minorHAnsi"/>
      <w:color w:val="595959" w:themeColor="text1" w:themeTint="0000A6"/>
      <w:spacing w:val="15"/>
      <w:szCs w:val="28"/>
    </w:rPr>
  </w:style>
  <w:style w:type="character" w:styleId="a6" w:customStyle="1">
    <w:name w:val="Підзаголовок Знак"/>
    <w:basedOn w:val="a0"/>
    <w:link w:val="a5"/>
    <w:uiPriority w:val="11"/>
    <w:rsid w:val="0082074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 w:val="1"/>
    <w:rsid w:val="00820743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8" w:customStyle="1">
    <w:name w:val="Цитата Знак"/>
    <w:basedOn w:val="a0"/>
    <w:link w:val="a7"/>
    <w:uiPriority w:val="29"/>
    <w:rsid w:val="00820743"/>
    <w:rPr>
      <w:rFonts w:ascii="Times New Roman" w:hAnsi="Times New Roman"/>
      <w:i w:val="1"/>
      <w:iCs w:val="1"/>
      <w:color w:val="404040" w:themeColor="text1" w:themeTint="0000BF"/>
      <w:sz w:val="28"/>
    </w:rPr>
  </w:style>
  <w:style w:type="paragraph" w:styleId="a9">
    <w:name w:val="List Paragraph"/>
    <w:basedOn w:val="a"/>
    <w:uiPriority w:val="34"/>
    <w:qFormat w:val="1"/>
    <w:rsid w:val="00820743"/>
    <w:pPr>
      <w:ind w:left="720"/>
      <w:contextualSpacing w:val="1"/>
    </w:pPr>
  </w:style>
  <w:style w:type="character" w:styleId="aa">
    <w:name w:val="Intense Emphasis"/>
    <w:basedOn w:val="a0"/>
    <w:uiPriority w:val="21"/>
    <w:qFormat w:val="1"/>
    <w:rsid w:val="00820743"/>
    <w:rPr>
      <w:i w:val="1"/>
      <w:iCs w:val="1"/>
      <w:color w:val="2e74b5" w:themeColor="accent1" w:themeShade="0000BF"/>
    </w:rPr>
  </w:style>
  <w:style w:type="paragraph" w:styleId="ab">
    <w:name w:val="Intense Quote"/>
    <w:basedOn w:val="a"/>
    <w:next w:val="a"/>
    <w:link w:val="ac"/>
    <w:uiPriority w:val="30"/>
    <w:qFormat w:val="1"/>
    <w:rsid w:val="00820743"/>
    <w:pPr>
      <w:pBdr>
        <w:top w:color="2e74b5" w:space="10" w:sz="4" w:themeColor="accent1" w:themeShade="0000BF" w:val="single"/>
        <w:bottom w:color="2e74b5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e74b5" w:themeColor="accent1" w:themeShade="0000BF"/>
    </w:rPr>
  </w:style>
  <w:style w:type="character" w:styleId="ac" w:customStyle="1">
    <w:name w:val="Насичена цитата Знак"/>
    <w:basedOn w:val="a0"/>
    <w:link w:val="ab"/>
    <w:uiPriority w:val="30"/>
    <w:rsid w:val="00820743"/>
    <w:rPr>
      <w:rFonts w:ascii="Times New Roman" w:hAnsi="Times New Roman"/>
      <w:i w:val="1"/>
      <w:iCs w:val="1"/>
      <w:color w:val="2e74b5" w:themeColor="accent1" w:themeShade="0000BF"/>
      <w:sz w:val="28"/>
    </w:rPr>
  </w:style>
  <w:style w:type="character" w:styleId="ad">
    <w:name w:val="Intense Reference"/>
    <w:basedOn w:val="a0"/>
    <w:uiPriority w:val="32"/>
    <w:qFormat w:val="1"/>
    <w:rsid w:val="00820743"/>
    <w:rPr>
      <w:b w:val="1"/>
      <w:bCs w:val="1"/>
      <w:smallCaps w:val="1"/>
      <w:color w:val="2e74b5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color w:val="595959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novqB0K2+C82VblcgfdZsK/rTw==">CgMxLjA4AHIhMVhjUXVaTk5WRmNjY2toUzAxSW9hZ3lZUDc5SDYzRzNQ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2025-06-04T09:23:00Z</dcterms:created>
  <dc:creator>Vlada Andrushchenko</dc:creator>
</cp:coreProperties>
</file>